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B0" w:rsidRPr="003651EB" w:rsidRDefault="004618B0" w:rsidP="003651EB">
      <w:pPr>
        <w:jc w:val="center"/>
        <w:rPr>
          <w:b/>
          <w:bCs/>
        </w:rPr>
      </w:pPr>
      <w:r w:rsidRPr="003651EB">
        <w:rPr>
          <w:b/>
          <w:bCs/>
        </w:rPr>
        <w:t>Meeting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3CC40F" wp14:editId="4E3A5B86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618B0" w:rsidRPr="00FA7714" w:rsidRDefault="00966B02" w:rsidP="004618B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Date: 01</w:t>
      </w:r>
      <w:r w:rsidR="004618B0" w:rsidRPr="00FA7714">
        <w:rPr>
          <w:rFonts w:cstheme="minorHAnsi"/>
        </w:rPr>
        <w:t xml:space="preserve"> </w:t>
      </w:r>
      <w:r>
        <w:rPr>
          <w:rFonts w:cstheme="minorHAnsi"/>
        </w:rPr>
        <w:t>April</w:t>
      </w:r>
      <w:r w:rsidR="004618B0" w:rsidRPr="00FA7714">
        <w:rPr>
          <w:rFonts w:cstheme="minorHAnsi"/>
        </w:rPr>
        <w:t xml:space="preserve"> 2013 at 3:00-5:00pm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</w:rPr>
        <w:t>Venue: FA Meeting Room, 1</w:t>
      </w:r>
      <w:r w:rsidRPr="00FA7714">
        <w:rPr>
          <w:rFonts w:cstheme="minorHAnsi"/>
          <w:vertAlign w:val="superscript"/>
        </w:rPr>
        <w:t>st</w:t>
      </w:r>
      <w:r w:rsidRPr="00FA7714">
        <w:rPr>
          <w:rFonts w:cstheme="minorHAnsi"/>
        </w:rPr>
        <w:t xml:space="preserve"> Floor</w:t>
      </w:r>
    </w:p>
    <w:p w:rsidR="004618B0" w:rsidRPr="00FA7714" w:rsidRDefault="004618B0" w:rsidP="004618B0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4618B0" w:rsidRPr="00FA7714" w:rsidRDefault="000F2126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</w:t>
      </w:r>
      <w:r w:rsidR="00966B02">
        <w:rPr>
          <w:rFonts w:cstheme="minorHAnsi"/>
        </w:rPr>
        <w:t xml:space="preserve"> minutes meeting on 27</w:t>
      </w:r>
      <w:r w:rsidR="004618B0" w:rsidRPr="00FA7714">
        <w:rPr>
          <w:rFonts w:cstheme="minorHAnsi"/>
        </w:rPr>
        <w:t xml:space="preserve"> March 2013</w:t>
      </w:r>
    </w:p>
    <w:p w:rsidR="00966B02" w:rsidRPr="00966B02" w:rsidRDefault="00966B02" w:rsidP="00ED4C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66B02">
        <w:rPr>
          <w:rFonts w:cstheme="minorHAnsi"/>
        </w:rPr>
        <w:t>Continue the development of the Consultation Group Selection Criteria and Process (and procedures)</w:t>
      </w:r>
    </w:p>
    <w:p w:rsidR="004618B0" w:rsidRPr="00FA7714" w:rsidRDefault="004618B0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7274B4" w:rsidRPr="00FA7714" w:rsidRDefault="009B16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</w:t>
      </w:r>
      <w:r w:rsidR="00196773" w:rsidRPr="00FA7714">
        <w:rPr>
          <w:rFonts w:cstheme="minorHAnsi"/>
          <w:b/>
          <w:bCs/>
        </w:rPr>
        <w:t xml:space="preserve">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540"/>
        <w:gridCol w:w="3318"/>
        <w:gridCol w:w="2702"/>
      </w:tblGrid>
      <w:tr w:rsidR="0008275B" w:rsidRPr="00DF7DAA" w:rsidTr="00763B95">
        <w:tc>
          <w:tcPr>
            <w:tcW w:w="440" w:type="dxa"/>
          </w:tcPr>
          <w:p w:rsidR="0008275B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40" w:type="dxa"/>
          </w:tcPr>
          <w:p w:rsidR="0008275B" w:rsidRPr="00BE7245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31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Programme Advisor (ODM)</w:t>
            </w:r>
          </w:p>
        </w:tc>
        <w:tc>
          <w:tcPr>
            <w:tcW w:w="2702" w:type="dxa"/>
          </w:tcPr>
          <w:p w:rsidR="0008275B" w:rsidRPr="0008275B" w:rsidRDefault="0008275B" w:rsidP="008D7EE6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08275B" w:rsidRPr="00DF7DAA" w:rsidTr="00763B95">
        <w:tc>
          <w:tcPr>
            <w:tcW w:w="440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40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Ms. Femy Pinto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18" w:type="dxa"/>
          </w:tcPr>
          <w:p w:rsidR="0008275B" w:rsidRPr="00DF7DAA" w:rsidRDefault="0008275B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Cambodia Facilitator </w:t>
            </w:r>
          </w:p>
        </w:tc>
        <w:tc>
          <w:tcPr>
            <w:tcW w:w="2702" w:type="dxa"/>
          </w:tcPr>
          <w:p w:rsidR="0008275B" w:rsidRPr="00DF7DAA" w:rsidRDefault="0008275B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318" w:type="dxa"/>
          </w:tcPr>
          <w:p w:rsidR="00636006" w:rsidRPr="009D7419" w:rsidRDefault="00636006" w:rsidP="00ED1C86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2702" w:type="dxa"/>
          </w:tcPr>
          <w:p w:rsidR="00636006" w:rsidRPr="009D7419" w:rsidRDefault="00636006" w:rsidP="00ED1C86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Winrock International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Mr. Kim Menglim</w:t>
            </w:r>
          </w:p>
        </w:tc>
        <w:tc>
          <w:tcPr>
            <w:tcW w:w="3318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 Specialist</w:t>
            </w:r>
          </w:p>
        </w:tc>
        <w:tc>
          <w:tcPr>
            <w:tcW w:w="2702" w:type="dxa"/>
          </w:tcPr>
          <w:p w:rsidR="00636006" w:rsidRPr="00CA122C" w:rsidRDefault="00636006" w:rsidP="008D7EE6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USAID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Mr. Kong S</w:t>
            </w:r>
            <w:r>
              <w:rPr>
                <w:rFonts w:cstheme="minorHAnsi"/>
              </w:rPr>
              <w:t>o</w:t>
            </w:r>
            <w:r w:rsidRPr="00DF7DAA">
              <w:rPr>
                <w:rFonts w:cstheme="minorHAnsi"/>
              </w:rPr>
              <w:t>phal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18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Technical Specialist</w:t>
            </w:r>
          </w:p>
        </w:tc>
        <w:tc>
          <w:tcPr>
            <w:tcW w:w="2702" w:type="dxa"/>
          </w:tcPr>
          <w:p w:rsidR="00636006" w:rsidRPr="00CA122C" w:rsidRDefault="00636006" w:rsidP="008D7EE6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437EB4" w:rsidRPr="00DF7DAA" w:rsidTr="00763B95">
        <w:tc>
          <w:tcPr>
            <w:tcW w:w="440" w:type="dxa"/>
          </w:tcPr>
          <w:p w:rsidR="00437EB4" w:rsidRDefault="00437EB4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40" w:type="dxa"/>
          </w:tcPr>
          <w:p w:rsidR="00437EB4" w:rsidRPr="00DF7DAA" w:rsidRDefault="00B6628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</w:t>
            </w:r>
            <w:r w:rsidR="00437EB4">
              <w:rPr>
                <w:rFonts w:cstheme="minorHAnsi"/>
              </w:rPr>
              <w:t>Lun Kimhy</w:t>
            </w:r>
          </w:p>
        </w:tc>
        <w:tc>
          <w:tcPr>
            <w:tcW w:w="3318" w:type="dxa"/>
          </w:tcPr>
          <w:p w:rsidR="00437EB4" w:rsidRPr="00DF7DAA" w:rsidRDefault="00437EB4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Programme Coordinator</w:t>
            </w:r>
          </w:p>
        </w:tc>
        <w:tc>
          <w:tcPr>
            <w:tcW w:w="2702" w:type="dxa"/>
          </w:tcPr>
          <w:p w:rsidR="00437EB4" w:rsidRPr="00CA122C" w:rsidRDefault="00437EB4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Pr="00DF7DAA" w:rsidRDefault="00D0634F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Mr. Moeung Socheat</w:t>
            </w:r>
          </w:p>
        </w:tc>
        <w:tc>
          <w:tcPr>
            <w:tcW w:w="3318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702" w:type="dxa"/>
          </w:tcPr>
          <w:p w:rsidR="00636006" w:rsidRPr="00CA122C" w:rsidRDefault="00636006" w:rsidP="008D7EE6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Pr="00DF7DAA" w:rsidRDefault="00D0634F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Naomi Matsue</w:t>
            </w:r>
          </w:p>
        </w:tc>
        <w:tc>
          <w:tcPr>
            <w:tcW w:w="3318" w:type="dxa"/>
          </w:tcPr>
          <w:p w:rsidR="00636006" w:rsidRPr="00DF7DAA" w:rsidRDefault="00636006" w:rsidP="00CA122C">
            <w:pPr>
              <w:rPr>
                <w:rFonts w:cstheme="minorHAnsi"/>
              </w:rPr>
            </w:pPr>
            <w:r>
              <w:rPr>
                <w:rFonts w:cstheme="minorHAnsi"/>
              </w:rPr>
              <w:t>Co-benefit Expert</w:t>
            </w:r>
          </w:p>
        </w:tc>
        <w:tc>
          <w:tcPr>
            <w:tcW w:w="2702" w:type="dxa"/>
          </w:tcPr>
          <w:p w:rsidR="00636006" w:rsidRPr="00DF7DAA" w:rsidRDefault="00636006" w:rsidP="008D7EE6">
            <w:pPr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lang w:eastAsia="ja-JP"/>
              </w:rPr>
              <w:t>FA-JICA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Pr="00DF7DAA" w:rsidRDefault="00D0634F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Ms. Chea Lily</w:t>
            </w:r>
          </w:p>
        </w:tc>
        <w:tc>
          <w:tcPr>
            <w:tcW w:w="3318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 Ms. Teng Rithiny</w:t>
            </w:r>
          </w:p>
        </w:tc>
        <w:tc>
          <w:tcPr>
            <w:tcW w:w="2702" w:type="dxa"/>
          </w:tcPr>
          <w:p w:rsidR="00636006" w:rsidRPr="00DF7DAA" w:rsidRDefault="00636006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NGOF</w:t>
            </w:r>
          </w:p>
        </w:tc>
      </w:tr>
      <w:tr w:rsidR="00636006" w:rsidRPr="00DF7DAA" w:rsidTr="00763B95">
        <w:tc>
          <w:tcPr>
            <w:tcW w:w="440" w:type="dxa"/>
          </w:tcPr>
          <w:p w:rsidR="00636006" w:rsidRPr="00DF7DAA" w:rsidRDefault="00D0634F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40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318" w:type="dxa"/>
          </w:tcPr>
          <w:p w:rsidR="00636006" w:rsidRPr="00DF7DAA" w:rsidRDefault="00636006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702" w:type="dxa"/>
          </w:tcPr>
          <w:p w:rsidR="00636006" w:rsidRPr="00DF7DAA" w:rsidRDefault="00636006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2E68DA" w:rsidRDefault="002E68DA" w:rsidP="007274B4">
      <w:pPr>
        <w:spacing w:line="240" w:lineRule="auto"/>
        <w:rPr>
          <w:rFonts w:cstheme="minorHAnsi"/>
          <w:b/>
          <w:bCs/>
        </w:rPr>
      </w:pPr>
    </w:p>
    <w:p w:rsidR="007274B4" w:rsidRPr="00FA7714" w:rsidRDefault="007274B4" w:rsidP="007274B4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53264" w:rsidRPr="00FA7714" w:rsidRDefault="00553264" w:rsidP="0055326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Review  minutes meeting on 11 March 2013</w:t>
      </w:r>
    </w:p>
    <w:p w:rsidR="00DB1514" w:rsidRPr="00DB1514" w:rsidRDefault="0028293A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B1514">
        <w:rPr>
          <w:rFonts w:cstheme="minorHAnsi"/>
        </w:rPr>
        <w:t xml:space="preserve"> </w:t>
      </w:r>
      <w:r w:rsidR="00DB1514" w:rsidRPr="00DB1514">
        <w:rPr>
          <w:rFonts w:cstheme="minorHAnsi"/>
        </w:rPr>
        <w:t xml:space="preserve">Follow up with Mr. Phai Sovanna (CIYA), whether he is still interested being the member since </w:t>
      </w:r>
      <w:r w:rsidR="00DB1514">
        <w:t>he resigned from CIYA already.</w:t>
      </w:r>
    </w:p>
    <w:p w:rsidR="0028293A" w:rsidRDefault="00DB1514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RECOFTC</w:t>
      </w:r>
      <w:r w:rsidR="00966816">
        <w:rPr>
          <w:rFonts w:cstheme="minorHAnsi"/>
        </w:rPr>
        <w:t xml:space="preserve"> clarification:</w:t>
      </w:r>
    </w:p>
    <w:p w:rsidR="00DB1514" w:rsidRDefault="00966816" w:rsidP="00DB1514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Mr. Kimhy:</w:t>
      </w:r>
      <w:r w:rsidR="005A764C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DB1514">
        <w:rPr>
          <w:rFonts w:cstheme="minorHAnsi"/>
        </w:rPr>
        <w:t>UN-REDD</w:t>
      </w:r>
      <w:r w:rsidR="005A764C">
        <w:rPr>
          <w:rFonts w:cstheme="minorHAnsi"/>
        </w:rPr>
        <w:t xml:space="preserve"> Programme is working on proces</w:t>
      </w:r>
      <w:r w:rsidR="004B2176">
        <w:rPr>
          <w:rFonts w:cstheme="minorHAnsi"/>
        </w:rPr>
        <w:t>s contract with RECOFTC. At least awareness raising events held at two national and six provincial levels with a focus on key stakeholder groups at each level, at least</w:t>
      </w:r>
      <w:r w:rsidR="005A764C">
        <w:rPr>
          <w:rFonts w:cstheme="minorHAnsi"/>
        </w:rPr>
        <w:t xml:space="preserve"> six </w:t>
      </w:r>
      <w:r w:rsidR="004B2176">
        <w:rPr>
          <w:rFonts w:cstheme="minorHAnsi"/>
        </w:rPr>
        <w:t xml:space="preserve">provinces and 200 people will be addressed. </w:t>
      </w:r>
    </w:p>
    <w:p w:rsidR="00DB1514" w:rsidRDefault="00DB1514" w:rsidP="00DB1514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Mr. Menglim: </w:t>
      </w:r>
      <w:r w:rsidR="00D32B0E">
        <w:rPr>
          <w:rFonts w:cstheme="minorHAnsi"/>
        </w:rPr>
        <w:t>EWMI, WWF, WCS and RECOFTC are the implementing partners of USAID, and provinces to be done (by mainly WCS and RECOFT) are in PV, KTh, Kratie, ST, and MDK.</w:t>
      </w:r>
      <w:r w:rsidR="009853E3">
        <w:rPr>
          <w:rFonts w:cstheme="minorHAnsi"/>
        </w:rPr>
        <w:t xml:space="preserve"> This is under SFB project.</w:t>
      </w:r>
    </w:p>
    <w:p w:rsidR="00966816" w:rsidRDefault="00966816" w:rsidP="00DB1514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Mr. Kimhy: We shall meet each other (USAID) to talk about the process to avoid overlapping implementation.</w:t>
      </w:r>
    </w:p>
    <w:p w:rsidR="00693CAF" w:rsidRDefault="00693CAF" w:rsidP="00DB1514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The secretariat will share the Awareness Raising TOR and related documents with USAID and Winrock</w:t>
      </w:r>
      <w:r w:rsidR="004B2176">
        <w:rPr>
          <w:rFonts w:cstheme="minorHAnsi"/>
        </w:rPr>
        <w:t xml:space="preserve"> International</w:t>
      </w:r>
      <w:r>
        <w:rPr>
          <w:rFonts w:cstheme="minorHAnsi"/>
        </w:rPr>
        <w:t>.</w:t>
      </w:r>
    </w:p>
    <w:p w:rsidR="00966816" w:rsidRDefault="00966816" w:rsidP="00966816">
      <w:pPr>
        <w:pStyle w:val="ListParagraph"/>
        <w:spacing w:line="240" w:lineRule="auto"/>
        <w:ind w:left="1800"/>
        <w:rPr>
          <w:rFonts w:cstheme="minorHAnsi"/>
        </w:rPr>
      </w:pPr>
    </w:p>
    <w:p w:rsidR="00C10420" w:rsidRPr="00EE0FAC" w:rsidRDefault="00EE0FAC" w:rsidP="00C1042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EE0FAC">
        <w:rPr>
          <w:rFonts w:cstheme="minorHAnsi"/>
          <w:b/>
          <w:bCs/>
        </w:rPr>
        <w:t>Continue the development of the Consultation Group Selection Criteria and Process</w:t>
      </w:r>
    </w:p>
    <w:p w:rsidR="009C6033" w:rsidRPr="00A6002A" w:rsidRDefault="00A6002A" w:rsidP="00EE0FA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EE0FAC" w:rsidRDefault="00EE0FAC" w:rsidP="00A6002A">
      <w:pPr>
        <w:pStyle w:val="ListParagraph"/>
        <w:ind w:left="1080"/>
        <w:rPr>
          <w:rFonts w:cstheme="minorHAnsi"/>
        </w:rPr>
      </w:pPr>
    </w:p>
    <w:p w:rsidR="00E85FE0" w:rsidRDefault="00E85FE0" w:rsidP="00A6002A">
      <w:pPr>
        <w:pStyle w:val="ListParagraph"/>
        <w:ind w:left="1080"/>
        <w:rPr>
          <w:rFonts w:cstheme="minorHAnsi"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563A4" wp14:editId="2F3C5296">
                <wp:simplePos x="0" y="0"/>
                <wp:positionH relativeFrom="column">
                  <wp:posOffset>21489</wp:posOffset>
                </wp:positionH>
                <wp:positionV relativeFrom="paragraph">
                  <wp:posOffset>20320</wp:posOffset>
                </wp:positionV>
                <wp:extent cx="5705475" cy="577850"/>
                <wp:effectExtent l="19050" t="19050" r="47625" b="317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77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E6F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>
                              <w:rPr>
                                <w:rFonts w:cstheme="minorHAnsi"/>
                              </w:rPr>
                              <w:t>Members shall think about the procedure on how the selection process of CG will be made before the meeting</w:t>
                            </w:r>
                          </w:p>
                          <w:p w:rsidR="00930E6F" w:rsidRPr="00997855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30E6F" w:rsidRPr="00BA3C7A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7pt;margin-top:1.6pt;width:449.2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" fillcolor="white [3201]" strokecolor="#9bbb59 [3206]" strokeweight="5pt">
                <v:stroke linestyle="thickThin"/>
                <v:shadow color="#868686"/>
                <v:textbox>
                  <w:txbxContent>
                    <w:p w:rsidR="00930E6F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>
                        <w:rPr>
                          <w:rFonts w:cstheme="minorHAnsi"/>
                        </w:rPr>
                        <w:t>Members shall think about the procedure on how the selection process of CG will be made before the meeting</w:t>
                      </w:r>
                    </w:p>
                    <w:p w:rsidR="00930E6F" w:rsidRPr="00997855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930E6F" w:rsidRPr="00BA3C7A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966B02" w:rsidRDefault="00837303" w:rsidP="00837303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- </w:t>
      </w:r>
      <w:r w:rsidR="00A6002A">
        <w:rPr>
          <w:rFonts w:cstheme="minorHAnsi"/>
        </w:rPr>
        <w:t>Continue with the criteria and the process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Hour Limchhun (Winrock International)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11 March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Teng Rithiny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0A5122" w:rsidRPr="00FA7714" w:rsidRDefault="009739F4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01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A6002A" w:rsidRPr="00FA7714" w:rsidTr="00D069BC">
        <w:tc>
          <w:tcPr>
            <w:tcW w:w="5120" w:type="dxa"/>
          </w:tcPr>
          <w:p w:rsidR="00A6002A" w:rsidRPr="00FA7714" w:rsidRDefault="00A6002A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2057" w:type="dxa"/>
          </w:tcPr>
          <w:p w:rsidR="00A6002A" w:rsidRPr="00FA7714" w:rsidRDefault="00A6002A" w:rsidP="00D069BC">
            <w:pPr>
              <w:rPr>
                <w:rFonts w:cstheme="minorHAnsi"/>
              </w:rPr>
            </w:pPr>
            <w:r>
              <w:rPr>
                <w:rFonts w:cstheme="minorHAnsi"/>
              </w:rPr>
              <w:t>19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Moeng Socheat,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</w:tbl>
    <w:p w:rsidR="00491854" w:rsidRDefault="00491854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0A5122" w:rsidRDefault="000A5122" w:rsidP="000A5122">
      <w:pPr>
        <w:spacing w:line="240" w:lineRule="auto"/>
        <w:rPr>
          <w:rFonts w:cstheme="minorHAnsi"/>
          <w:b/>
          <w:bCs/>
          <w:i/>
          <w:iCs/>
        </w:rPr>
      </w:pPr>
      <w:r w:rsidRPr="00FA7714">
        <w:rPr>
          <w:rFonts w:cstheme="minorHAnsi"/>
          <w:b/>
          <w:bCs/>
          <w:i/>
          <w:iCs/>
        </w:rPr>
        <w:t xml:space="preserve">Next Meeting: </w:t>
      </w:r>
    </w:p>
    <w:p w:rsidR="008A6367" w:rsidRPr="00FA7714" w:rsidRDefault="008A6367" w:rsidP="000A5122">
      <w:pPr>
        <w:spacing w:line="240" w:lineRule="auto"/>
        <w:rPr>
          <w:rFonts w:cstheme="minorHAnsi"/>
          <w:i/>
          <w:iCs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65418" wp14:editId="06050ED7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19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April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Forestry Administrative Office (1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</w:rPr>
                              <w:t>Mr. Chhun Delux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2.45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wd7AIAACAGAAAOAAAAZHJzL2Uyb0RvYy54bWysVFFv2jAQfp+0/2D5nSaBhEDUUFEK06Ru&#10;q9ZOezaOQ6w6dmYbkm7af9/ZgZS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A6002A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19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April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Forestry Administrative Office (1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st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 w:rsidR="00A6002A">
                        <w:rPr>
                          <w:rFonts w:cstheme="minorHAnsi"/>
                          <w:b/>
                          <w:bCs/>
                        </w:rPr>
                        <w:t>Mr. Chhun Delux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 xml:space="preserve">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367" w:rsidRDefault="008A6367">
      <w:pPr>
        <w:rPr>
          <w:rFonts w:cstheme="minorHAnsi"/>
        </w:rPr>
      </w:pPr>
    </w:p>
    <w:p w:rsidR="008A6367" w:rsidRDefault="008A6367">
      <w:pPr>
        <w:rPr>
          <w:rFonts w:cstheme="minorHAnsi"/>
        </w:rPr>
      </w:pPr>
    </w:p>
    <w:p w:rsidR="008A6367" w:rsidRDefault="008A6367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505"/>
      </w:tblGrid>
      <w:tr w:rsidR="008A6367" w:rsidTr="008A6367">
        <w:tc>
          <w:tcPr>
            <w:tcW w:w="5233" w:type="dxa"/>
          </w:tcPr>
          <w:p w:rsidR="008A6367" w:rsidRPr="00E04B72" w:rsidRDefault="008A636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8A6367" w:rsidRPr="00E04B72" w:rsidRDefault="008A6367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8A6367" w:rsidTr="008A6367">
        <w:trPr>
          <w:trHeight w:val="1853"/>
        </w:trPr>
        <w:tc>
          <w:tcPr>
            <w:tcW w:w="5233" w:type="dxa"/>
          </w:tcPr>
          <w:p w:rsidR="008A6367" w:rsidRDefault="008A6367" w:rsidP="0045017F">
            <w:r>
              <w:t xml:space="preserve">Thy Heang </w:t>
            </w:r>
          </w:p>
          <w:p w:rsidR="008A6367" w:rsidRPr="00E04B72" w:rsidRDefault="008A6367" w:rsidP="0045017F">
            <w:pPr>
              <w:rPr>
                <w:sz w:val="56"/>
                <w:szCs w:val="56"/>
              </w:rPr>
            </w:pPr>
          </w:p>
          <w:p w:rsidR="008A6367" w:rsidRDefault="008A6367" w:rsidP="0045017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8A6367" w:rsidRDefault="008A6367" w:rsidP="0045017F">
            <w:pPr>
              <w:rPr>
                <w:rFonts w:cstheme="minorHAnsi"/>
                <w:i/>
                <w:iCs/>
              </w:rPr>
            </w:pPr>
          </w:p>
        </w:tc>
      </w:tr>
    </w:tbl>
    <w:p w:rsidR="000A5122" w:rsidRPr="00FA7714" w:rsidRDefault="000A5122">
      <w:pPr>
        <w:rPr>
          <w:rFonts w:cstheme="minorHAnsi"/>
        </w:rPr>
      </w:pPr>
    </w:p>
    <w:sectPr w:rsidR="000A5122" w:rsidRPr="00FA7714" w:rsidSect="00FA77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80B97"/>
    <w:rsid w:val="0008275B"/>
    <w:rsid w:val="00092428"/>
    <w:rsid w:val="000A11C3"/>
    <w:rsid w:val="000A5122"/>
    <w:rsid w:val="000B5F98"/>
    <w:rsid w:val="000D0882"/>
    <w:rsid w:val="000F2126"/>
    <w:rsid w:val="00127E33"/>
    <w:rsid w:val="00137652"/>
    <w:rsid w:val="00144C37"/>
    <w:rsid w:val="00176935"/>
    <w:rsid w:val="00196773"/>
    <w:rsid w:val="001B3FBB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A1740"/>
    <w:rsid w:val="002A4431"/>
    <w:rsid w:val="002C2A2E"/>
    <w:rsid w:val="002C351E"/>
    <w:rsid w:val="002D43C7"/>
    <w:rsid w:val="002D7EA3"/>
    <w:rsid w:val="002E4451"/>
    <w:rsid w:val="002E68DA"/>
    <w:rsid w:val="00320CC5"/>
    <w:rsid w:val="00332D54"/>
    <w:rsid w:val="003353DF"/>
    <w:rsid w:val="003362EF"/>
    <w:rsid w:val="0036357B"/>
    <w:rsid w:val="003651EB"/>
    <w:rsid w:val="0038178E"/>
    <w:rsid w:val="00387B3B"/>
    <w:rsid w:val="00393B89"/>
    <w:rsid w:val="00394B81"/>
    <w:rsid w:val="003C2A3E"/>
    <w:rsid w:val="003D25A9"/>
    <w:rsid w:val="003E2C71"/>
    <w:rsid w:val="0040231B"/>
    <w:rsid w:val="00411724"/>
    <w:rsid w:val="00415409"/>
    <w:rsid w:val="00423EA9"/>
    <w:rsid w:val="004263B2"/>
    <w:rsid w:val="00437EB4"/>
    <w:rsid w:val="004606B4"/>
    <w:rsid w:val="004618B0"/>
    <w:rsid w:val="00465BF2"/>
    <w:rsid w:val="00466DC1"/>
    <w:rsid w:val="00491854"/>
    <w:rsid w:val="004B2176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53264"/>
    <w:rsid w:val="00565D22"/>
    <w:rsid w:val="00583CDF"/>
    <w:rsid w:val="00586B8A"/>
    <w:rsid w:val="005900D6"/>
    <w:rsid w:val="00596BF6"/>
    <w:rsid w:val="005A764C"/>
    <w:rsid w:val="005C2116"/>
    <w:rsid w:val="005D0BBC"/>
    <w:rsid w:val="005D0D31"/>
    <w:rsid w:val="005D2FCA"/>
    <w:rsid w:val="005E3737"/>
    <w:rsid w:val="005F1EA9"/>
    <w:rsid w:val="00602027"/>
    <w:rsid w:val="006111F6"/>
    <w:rsid w:val="006209BE"/>
    <w:rsid w:val="00625E41"/>
    <w:rsid w:val="00630B0A"/>
    <w:rsid w:val="00636006"/>
    <w:rsid w:val="006562D0"/>
    <w:rsid w:val="006618C1"/>
    <w:rsid w:val="00670014"/>
    <w:rsid w:val="00693CAF"/>
    <w:rsid w:val="006D448C"/>
    <w:rsid w:val="006E304D"/>
    <w:rsid w:val="006E5805"/>
    <w:rsid w:val="006E6255"/>
    <w:rsid w:val="006E6881"/>
    <w:rsid w:val="006E7A8C"/>
    <w:rsid w:val="007016B9"/>
    <w:rsid w:val="007052F7"/>
    <w:rsid w:val="00716AEA"/>
    <w:rsid w:val="00722600"/>
    <w:rsid w:val="007274B4"/>
    <w:rsid w:val="00753EE1"/>
    <w:rsid w:val="00763B95"/>
    <w:rsid w:val="00764658"/>
    <w:rsid w:val="0077164C"/>
    <w:rsid w:val="007C40E9"/>
    <w:rsid w:val="007E5626"/>
    <w:rsid w:val="00821512"/>
    <w:rsid w:val="00830A67"/>
    <w:rsid w:val="008357B0"/>
    <w:rsid w:val="00837303"/>
    <w:rsid w:val="008619C4"/>
    <w:rsid w:val="00862DAC"/>
    <w:rsid w:val="00862E6C"/>
    <w:rsid w:val="008643BF"/>
    <w:rsid w:val="00893D8A"/>
    <w:rsid w:val="008A6367"/>
    <w:rsid w:val="008B5E7E"/>
    <w:rsid w:val="00916779"/>
    <w:rsid w:val="009208C9"/>
    <w:rsid w:val="00930E6F"/>
    <w:rsid w:val="00932720"/>
    <w:rsid w:val="00945BB7"/>
    <w:rsid w:val="00954A20"/>
    <w:rsid w:val="00966816"/>
    <w:rsid w:val="00966B02"/>
    <w:rsid w:val="009739F4"/>
    <w:rsid w:val="009853E3"/>
    <w:rsid w:val="00985C8C"/>
    <w:rsid w:val="009B169F"/>
    <w:rsid w:val="009B5DC1"/>
    <w:rsid w:val="009B7D2D"/>
    <w:rsid w:val="009C6033"/>
    <w:rsid w:val="009C78EF"/>
    <w:rsid w:val="009D47DE"/>
    <w:rsid w:val="009E0786"/>
    <w:rsid w:val="009F64C8"/>
    <w:rsid w:val="00A4019A"/>
    <w:rsid w:val="00A412D9"/>
    <w:rsid w:val="00A45B1D"/>
    <w:rsid w:val="00A56A7E"/>
    <w:rsid w:val="00A6002A"/>
    <w:rsid w:val="00A65558"/>
    <w:rsid w:val="00A723FE"/>
    <w:rsid w:val="00A83A21"/>
    <w:rsid w:val="00A92393"/>
    <w:rsid w:val="00A95402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6628B"/>
    <w:rsid w:val="00B6715D"/>
    <w:rsid w:val="00B7738C"/>
    <w:rsid w:val="00BC4796"/>
    <w:rsid w:val="00BC5D40"/>
    <w:rsid w:val="00BD3F20"/>
    <w:rsid w:val="00BE0B2C"/>
    <w:rsid w:val="00BE6925"/>
    <w:rsid w:val="00BE7245"/>
    <w:rsid w:val="00BE7F74"/>
    <w:rsid w:val="00C10420"/>
    <w:rsid w:val="00C64EBE"/>
    <w:rsid w:val="00CA122C"/>
    <w:rsid w:val="00CA5891"/>
    <w:rsid w:val="00CA5F68"/>
    <w:rsid w:val="00CE002C"/>
    <w:rsid w:val="00CF3829"/>
    <w:rsid w:val="00D0634F"/>
    <w:rsid w:val="00D1593A"/>
    <w:rsid w:val="00D15FC7"/>
    <w:rsid w:val="00D304F8"/>
    <w:rsid w:val="00D32B0E"/>
    <w:rsid w:val="00D52E0B"/>
    <w:rsid w:val="00D55AED"/>
    <w:rsid w:val="00D77CC2"/>
    <w:rsid w:val="00D97A52"/>
    <w:rsid w:val="00DA30FC"/>
    <w:rsid w:val="00DB1514"/>
    <w:rsid w:val="00DD37A6"/>
    <w:rsid w:val="00DE1A61"/>
    <w:rsid w:val="00DF18C8"/>
    <w:rsid w:val="00E044FE"/>
    <w:rsid w:val="00E15162"/>
    <w:rsid w:val="00E308D3"/>
    <w:rsid w:val="00E34FDB"/>
    <w:rsid w:val="00E36125"/>
    <w:rsid w:val="00E376E0"/>
    <w:rsid w:val="00E41E9E"/>
    <w:rsid w:val="00E53BE5"/>
    <w:rsid w:val="00E57AC4"/>
    <w:rsid w:val="00E85FE0"/>
    <w:rsid w:val="00E91D35"/>
    <w:rsid w:val="00EB615E"/>
    <w:rsid w:val="00ED4C9B"/>
    <w:rsid w:val="00EE0FAC"/>
    <w:rsid w:val="00EF13AC"/>
    <w:rsid w:val="00EF17A3"/>
    <w:rsid w:val="00EF3111"/>
    <w:rsid w:val="00F04D8B"/>
    <w:rsid w:val="00F05DE4"/>
    <w:rsid w:val="00F06134"/>
    <w:rsid w:val="00F4004D"/>
    <w:rsid w:val="00F66664"/>
    <w:rsid w:val="00F86618"/>
    <w:rsid w:val="00F92730"/>
    <w:rsid w:val="00F974F0"/>
    <w:rsid w:val="00FA7714"/>
    <w:rsid w:val="00FC0873"/>
    <w:rsid w:val="00FD1D0A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2013-04-01T04:52:00Z</dcterms:created>
  <dcterms:modified xsi:type="dcterms:W3CDTF">2013-04-23T07:58:00Z</dcterms:modified>
</cp:coreProperties>
</file>